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69" w:rsidRDefault="000C460C" w:rsidP="00685169">
      <w:pPr>
        <w:spacing w:after="0"/>
        <w:jc w:val="center"/>
        <w:rPr>
          <w:b/>
        </w:rPr>
      </w:pPr>
      <w:r>
        <w:rPr>
          <w:b/>
        </w:rPr>
        <w:t>Critical Thinking Assessment Tool</w:t>
      </w:r>
    </w:p>
    <w:p w:rsidR="000C460C" w:rsidRDefault="000C460C" w:rsidP="00685169">
      <w:pPr>
        <w:spacing w:after="0"/>
        <w:jc w:val="center"/>
        <w:rPr>
          <w:b/>
        </w:rPr>
      </w:pPr>
      <w:r>
        <w:rPr>
          <w:b/>
        </w:rPr>
        <w:t>De Anza College</w:t>
      </w:r>
    </w:p>
    <w:p w:rsidR="000C460C" w:rsidRDefault="000C460C" w:rsidP="00685169">
      <w:pPr>
        <w:spacing w:after="0"/>
        <w:jc w:val="center"/>
        <w:rPr>
          <w:b/>
        </w:rPr>
      </w:pPr>
      <w:r>
        <w:rPr>
          <w:b/>
        </w:rPr>
        <w:t>2013</w:t>
      </w:r>
    </w:p>
    <w:p w:rsidR="000C460C" w:rsidRDefault="000C460C" w:rsidP="000C460C">
      <w:r>
        <w:t>Dear Faculty and Staff:</w:t>
      </w:r>
    </w:p>
    <w:p w:rsidR="000C460C" w:rsidRDefault="000C460C" w:rsidP="000C460C">
      <w:r>
        <w:t>The attached tool was developed through a long collaborative project that began with our campus-wide SLO convocation in the spring of 2012.  In short, we have taken the suggestions of over 100 De Anza faculty members and attempted to distill them into a simple Critical Thinking rubric.  It is our hope that the rubric will</w:t>
      </w:r>
      <w:r w:rsidR="00C20AD2">
        <w:t xml:space="preserve"> be</w:t>
      </w:r>
      <w:r>
        <w:t xml:space="preserve"> </w:t>
      </w:r>
      <w:r w:rsidR="0096138C">
        <w:rPr>
          <w:b/>
        </w:rPr>
        <w:t xml:space="preserve">quick and easy </w:t>
      </w:r>
      <w:r w:rsidR="0096138C">
        <w:t xml:space="preserve">to use, and will </w:t>
      </w:r>
      <w:r w:rsidRPr="0096138C">
        <w:t>shed</w:t>
      </w:r>
      <w:r>
        <w:t xml:space="preserve"> some light on the extent to which De Anza, through its many and diverse programs, contributes to the Critical Thinking skills of its students.</w:t>
      </w:r>
    </w:p>
    <w:p w:rsidR="000C460C" w:rsidRDefault="000C460C" w:rsidP="000C460C">
      <w:r>
        <w:t xml:space="preserve">On behalf of the campus SLO committee, I would like to </w:t>
      </w:r>
      <w:r w:rsidRPr="000C460C">
        <w:t>thank you</w:t>
      </w:r>
      <w:r>
        <w:t xml:space="preserve"> for your voluntary participation in this important assessment project.  To evaluate the learning outcomes of a large institution is no small undertaking, and is only possible through the involvement of the entire learning community.  Please do not hesitate to contact me with any questions that you might have about the project.</w:t>
      </w:r>
    </w:p>
    <w:p w:rsidR="000C460C" w:rsidRDefault="000C460C" w:rsidP="000C460C">
      <w:pPr>
        <w:spacing w:after="0"/>
      </w:pPr>
      <w:r>
        <w:t>Best,</w:t>
      </w:r>
    </w:p>
    <w:p w:rsidR="000C460C" w:rsidRDefault="000C460C" w:rsidP="000C460C">
      <w:pPr>
        <w:spacing w:after="0"/>
      </w:pPr>
    </w:p>
    <w:p w:rsidR="000C460C" w:rsidRDefault="000C460C" w:rsidP="000C460C">
      <w:pPr>
        <w:spacing w:after="0"/>
      </w:pPr>
      <w:r>
        <w:t>Antonio Ramirez</w:t>
      </w:r>
    </w:p>
    <w:p w:rsidR="000C460C" w:rsidRDefault="000C460C" w:rsidP="000C460C">
      <w:pPr>
        <w:spacing w:after="0"/>
      </w:pPr>
      <w:r>
        <w:t>Philosophy Instructor</w:t>
      </w:r>
    </w:p>
    <w:p w:rsidR="000C460C" w:rsidRDefault="000C460C" w:rsidP="000C460C">
      <w:pPr>
        <w:spacing w:after="0"/>
      </w:pPr>
      <w:r>
        <w:t>SLO Coordinator</w:t>
      </w:r>
    </w:p>
    <w:p w:rsidR="000C460C" w:rsidRDefault="000C460C" w:rsidP="000C460C">
      <w:pPr>
        <w:pBdr>
          <w:bottom w:val="single" w:sz="12" w:space="1" w:color="auto"/>
        </w:pBdr>
        <w:spacing w:after="0"/>
      </w:pPr>
      <w:r>
        <w:t>X5327</w:t>
      </w:r>
    </w:p>
    <w:p w:rsidR="000C460C" w:rsidRDefault="000C460C" w:rsidP="000C460C">
      <w:pPr>
        <w:spacing w:after="0"/>
      </w:pPr>
    </w:p>
    <w:p w:rsidR="000C460C" w:rsidRDefault="000C460C" w:rsidP="000C460C">
      <w:pPr>
        <w:spacing w:after="0"/>
        <w:jc w:val="center"/>
        <w:rPr>
          <w:b/>
        </w:rPr>
      </w:pPr>
      <w:r>
        <w:rPr>
          <w:b/>
        </w:rPr>
        <w:t>INSTRUCTIONS</w:t>
      </w:r>
    </w:p>
    <w:p w:rsidR="000C460C" w:rsidRDefault="000C460C" w:rsidP="000C460C">
      <w:pPr>
        <w:spacing w:after="0"/>
        <w:jc w:val="center"/>
        <w:rPr>
          <w:b/>
        </w:rPr>
      </w:pPr>
    </w:p>
    <w:p w:rsidR="000C460C" w:rsidRDefault="000C460C" w:rsidP="000C460C">
      <w:pPr>
        <w:pStyle w:val="ListParagraph"/>
        <w:numPr>
          <w:ilvl w:val="0"/>
          <w:numId w:val="1"/>
        </w:numPr>
        <w:spacing w:after="0"/>
      </w:pPr>
      <w:r>
        <w:t xml:space="preserve">The rubric </w:t>
      </w:r>
      <w:r w:rsidR="008069AE">
        <w:t xml:space="preserve">(page 2) </w:t>
      </w:r>
      <w:r>
        <w:t xml:space="preserve">is comprised of 5 distinct criteria for Critical Thinking.  Choose an assessment method that you already use in your course to look for </w:t>
      </w:r>
      <w:r>
        <w:rPr>
          <w:b/>
        </w:rPr>
        <w:t>one</w:t>
      </w:r>
      <w:r w:rsidR="008069AE">
        <w:t xml:space="preserve"> of these criteria.  Some courses/disciplines will lend themselves more naturally to particular CT criteria.  Your assessment method might be as broad as an essay, a class presentation, an exam, or as narrow</w:t>
      </w:r>
      <w:r w:rsidR="00C20AD2">
        <w:t xml:space="preserve"> as a specific question from an</w:t>
      </w:r>
      <w:r w:rsidR="008069AE">
        <w:t xml:space="preserve"> exam that specifically targets your chosen CT criterion.</w:t>
      </w:r>
    </w:p>
    <w:p w:rsidR="008069AE" w:rsidRDefault="008069AE" w:rsidP="000C460C">
      <w:pPr>
        <w:pStyle w:val="ListParagraph"/>
        <w:numPr>
          <w:ilvl w:val="0"/>
          <w:numId w:val="1"/>
        </w:numPr>
        <w:spacing w:after="0"/>
      </w:pPr>
      <w:r>
        <w:t xml:space="preserve">Before giving the assessment, establish a hypothesis for how many of your students will demonstrate ‘Above Level’ skill, how many will demonstrate ‘At Level’ skill, and how many will demonstrate ‘Below Level’ skill.  Record this in the </w:t>
      </w:r>
      <w:r w:rsidR="00A93CDD">
        <w:t>“ICC Assessment W</w:t>
      </w:r>
      <w:r>
        <w:t>orksheet</w:t>
      </w:r>
      <w:r w:rsidR="00A93CDD">
        <w:t>”</w:t>
      </w:r>
      <w:r>
        <w:t xml:space="preserve"> (</w:t>
      </w:r>
      <w:r w:rsidR="0096138C">
        <w:t>question 3</w:t>
      </w:r>
      <w:r>
        <w:t xml:space="preserve">).  The rubric language is designed to give some sense of each level, but is open to </w:t>
      </w:r>
      <w:r>
        <w:rPr>
          <w:b/>
        </w:rPr>
        <w:t>your own interpretation</w:t>
      </w:r>
      <w:r>
        <w:t xml:space="preserve">.  </w:t>
      </w:r>
    </w:p>
    <w:p w:rsidR="008069AE" w:rsidRDefault="008069AE" w:rsidP="000C460C">
      <w:pPr>
        <w:pStyle w:val="ListParagraph"/>
        <w:numPr>
          <w:ilvl w:val="0"/>
          <w:numId w:val="1"/>
        </w:numPr>
        <w:spacing w:after="0"/>
      </w:pPr>
      <w:r>
        <w:t>After giving the assessment, record the number of students who perform at each level, and answer the remaining worksheet questions.</w:t>
      </w:r>
    </w:p>
    <w:p w:rsidR="008069AE" w:rsidRDefault="008069AE" w:rsidP="000C460C">
      <w:pPr>
        <w:pStyle w:val="ListParagraph"/>
        <w:numPr>
          <w:ilvl w:val="0"/>
          <w:numId w:val="1"/>
        </w:numPr>
        <w:spacing w:after="0"/>
      </w:pPr>
      <w:r>
        <w:t xml:space="preserve">Email your worksheet (and if you are comfortable, a copy of your assessment) to </w:t>
      </w:r>
      <w:hyperlink r:id="rId7" w:history="1">
        <w:r w:rsidRPr="009A7826">
          <w:rPr>
            <w:rStyle w:val="Hyperlink"/>
          </w:rPr>
          <w:t>ramireztono@fhda.edu</w:t>
        </w:r>
      </w:hyperlink>
      <w:r>
        <w:t>.</w:t>
      </w:r>
    </w:p>
    <w:p w:rsidR="008069AE" w:rsidRDefault="008069AE" w:rsidP="008069AE">
      <w:pPr>
        <w:spacing w:after="0"/>
      </w:pPr>
    </w:p>
    <w:p w:rsidR="008069AE" w:rsidRDefault="008069AE" w:rsidP="008069AE">
      <w:pPr>
        <w:spacing w:after="0"/>
        <w:rPr>
          <w:b/>
        </w:rPr>
      </w:pPr>
      <w:r>
        <w:rPr>
          <w:b/>
        </w:rPr>
        <w:t>Please note:</w:t>
      </w:r>
    </w:p>
    <w:p w:rsidR="008069AE" w:rsidRPr="008069AE" w:rsidRDefault="008069AE" w:rsidP="008069AE">
      <w:pPr>
        <w:pStyle w:val="ListParagraph"/>
        <w:numPr>
          <w:ilvl w:val="0"/>
          <w:numId w:val="2"/>
        </w:numPr>
        <w:spacing w:after="0"/>
        <w:rPr>
          <w:b/>
        </w:rPr>
      </w:pPr>
      <w:r>
        <w:t xml:space="preserve">Submissions will be tallied </w:t>
      </w:r>
      <w:r>
        <w:rPr>
          <w:b/>
        </w:rPr>
        <w:t>anonymously</w:t>
      </w:r>
      <w:r>
        <w:t xml:space="preserve">, and this project will </w:t>
      </w:r>
      <w:r>
        <w:rPr>
          <w:b/>
        </w:rPr>
        <w:t>in no way</w:t>
      </w:r>
      <w:r>
        <w:t xml:space="preserve"> be used to assess individual courses/instructors.  </w:t>
      </w:r>
    </w:p>
    <w:p w:rsidR="0034735F" w:rsidRDefault="008069AE" w:rsidP="008069AE">
      <w:pPr>
        <w:pStyle w:val="ListParagraph"/>
        <w:numPr>
          <w:ilvl w:val="0"/>
          <w:numId w:val="2"/>
        </w:numPr>
        <w:spacing w:after="0"/>
      </w:pPr>
      <w:r>
        <w:t xml:space="preserve">A sample assessment/worksheet </w:t>
      </w:r>
      <w:r w:rsidR="00335652">
        <w:t>has been provided</w:t>
      </w:r>
      <w:r>
        <w:t xml:space="preserve"> for your reference.  </w:t>
      </w:r>
      <w:bookmarkStart w:id="0" w:name="_GoBack"/>
      <w:bookmarkEnd w:id="0"/>
    </w:p>
    <w:p w:rsidR="0034735F" w:rsidRPr="0034735F" w:rsidRDefault="0034735F" w:rsidP="0034735F">
      <w:pPr>
        <w:jc w:val="center"/>
        <w:rPr>
          <w:rFonts w:ascii="Garamond" w:hAnsi="Garamond"/>
          <w:b/>
          <w:sz w:val="32"/>
          <w:szCs w:val="32"/>
        </w:rPr>
      </w:pPr>
      <w:r w:rsidRPr="0034735F">
        <w:rPr>
          <w:rFonts w:ascii="Garamond" w:hAnsi="Garamond"/>
          <w:b/>
          <w:sz w:val="32"/>
          <w:szCs w:val="32"/>
        </w:rPr>
        <w:lastRenderedPageBreak/>
        <w:t>Interdisciplinary Rubric: Critical Thinking</w:t>
      </w:r>
    </w:p>
    <w:p w:rsidR="0034735F" w:rsidRPr="0034735F" w:rsidRDefault="0034735F" w:rsidP="0034735F">
      <w:pPr>
        <w:jc w:val="center"/>
        <w:rPr>
          <w:rFonts w:ascii="Garamond" w:hAnsi="Garamond"/>
          <w:b/>
          <w:sz w:val="32"/>
          <w:szCs w:val="32"/>
        </w:rPr>
      </w:pPr>
      <w:r w:rsidRPr="0034735F">
        <w:rPr>
          <w:rFonts w:ascii="Garamond" w:hAnsi="Garamond"/>
          <w:b/>
          <w:sz w:val="32"/>
          <w:szCs w:val="32"/>
        </w:rPr>
        <w:t>De Anza College</w:t>
      </w:r>
    </w:p>
    <w:p w:rsidR="0034735F" w:rsidRDefault="0034735F" w:rsidP="0034735F"/>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790"/>
        <w:gridCol w:w="2970"/>
        <w:gridCol w:w="2160"/>
      </w:tblGrid>
      <w:tr w:rsidR="0034735F" w:rsidRPr="00F11894" w:rsidTr="0096138C">
        <w:trPr>
          <w:trHeight w:val="476"/>
        </w:trPr>
        <w:tc>
          <w:tcPr>
            <w:tcW w:w="1530" w:type="dxa"/>
          </w:tcPr>
          <w:p w:rsidR="0034735F" w:rsidRPr="00F11894" w:rsidRDefault="0034735F" w:rsidP="0096138C">
            <w:pPr>
              <w:rPr>
                <w:rFonts w:ascii="Garamond" w:hAnsi="Garamond"/>
                <w:b/>
                <w:sz w:val="20"/>
                <w:szCs w:val="20"/>
              </w:rPr>
            </w:pPr>
            <w:r w:rsidRPr="00F11894">
              <w:rPr>
                <w:rFonts w:ascii="Garamond" w:hAnsi="Garamond"/>
                <w:b/>
                <w:sz w:val="20"/>
                <w:szCs w:val="20"/>
              </w:rPr>
              <w:t>Criteria</w:t>
            </w:r>
            <w:r>
              <w:rPr>
                <w:rFonts w:ascii="Garamond" w:hAnsi="Garamond"/>
                <w:b/>
                <w:sz w:val="20"/>
                <w:szCs w:val="20"/>
              </w:rPr>
              <w:t xml:space="preserve"> (please choose ONE to assess)</w:t>
            </w:r>
          </w:p>
        </w:tc>
        <w:tc>
          <w:tcPr>
            <w:tcW w:w="2790" w:type="dxa"/>
          </w:tcPr>
          <w:p w:rsidR="0034735F" w:rsidRPr="00F11894" w:rsidRDefault="0034735F" w:rsidP="0096138C">
            <w:pPr>
              <w:jc w:val="center"/>
              <w:rPr>
                <w:rFonts w:ascii="Garamond" w:hAnsi="Garamond"/>
                <w:b/>
                <w:sz w:val="20"/>
                <w:szCs w:val="20"/>
              </w:rPr>
            </w:pPr>
            <w:r w:rsidRPr="00F11894">
              <w:rPr>
                <w:rFonts w:ascii="Garamond" w:hAnsi="Garamond"/>
                <w:b/>
                <w:sz w:val="20"/>
                <w:szCs w:val="20"/>
              </w:rPr>
              <w:t>Above Level</w:t>
            </w:r>
          </w:p>
          <w:p w:rsidR="0034735F" w:rsidRPr="00F11894" w:rsidRDefault="0034735F" w:rsidP="0096138C">
            <w:pPr>
              <w:jc w:val="center"/>
              <w:rPr>
                <w:rFonts w:ascii="Garamond" w:hAnsi="Garamond"/>
                <w:b/>
                <w:sz w:val="20"/>
                <w:szCs w:val="20"/>
              </w:rPr>
            </w:pPr>
          </w:p>
        </w:tc>
        <w:tc>
          <w:tcPr>
            <w:tcW w:w="2970" w:type="dxa"/>
          </w:tcPr>
          <w:p w:rsidR="0034735F" w:rsidRPr="00F11894" w:rsidRDefault="0034735F" w:rsidP="0096138C">
            <w:pPr>
              <w:jc w:val="center"/>
              <w:rPr>
                <w:rFonts w:ascii="Garamond" w:hAnsi="Garamond"/>
                <w:b/>
                <w:sz w:val="20"/>
                <w:szCs w:val="20"/>
              </w:rPr>
            </w:pPr>
            <w:r w:rsidRPr="00F11894">
              <w:rPr>
                <w:rFonts w:ascii="Garamond" w:hAnsi="Garamond"/>
                <w:b/>
                <w:sz w:val="20"/>
                <w:szCs w:val="20"/>
              </w:rPr>
              <w:t>At Level</w:t>
            </w:r>
          </w:p>
          <w:p w:rsidR="0034735F" w:rsidRPr="00F11894" w:rsidRDefault="0034735F" w:rsidP="0096138C">
            <w:pPr>
              <w:jc w:val="center"/>
              <w:rPr>
                <w:rFonts w:ascii="Garamond" w:hAnsi="Garamond"/>
                <w:b/>
                <w:sz w:val="20"/>
                <w:szCs w:val="20"/>
              </w:rPr>
            </w:pPr>
          </w:p>
        </w:tc>
        <w:tc>
          <w:tcPr>
            <w:tcW w:w="2160" w:type="dxa"/>
          </w:tcPr>
          <w:p w:rsidR="0034735F" w:rsidRPr="00F11894" w:rsidRDefault="0034735F" w:rsidP="0096138C">
            <w:pPr>
              <w:pStyle w:val="Heading1"/>
              <w:spacing w:line="240" w:lineRule="auto"/>
              <w:jc w:val="center"/>
              <w:rPr>
                <w:rFonts w:ascii="Garamond" w:hAnsi="Garamond"/>
                <w:b/>
                <w:sz w:val="20"/>
              </w:rPr>
            </w:pPr>
            <w:r w:rsidRPr="00F11894">
              <w:rPr>
                <w:rFonts w:ascii="Garamond" w:hAnsi="Garamond"/>
                <w:b/>
                <w:i w:val="0"/>
                <w:sz w:val="20"/>
              </w:rPr>
              <w:t>Below Level</w:t>
            </w:r>
          </w:p>
          <w:p w:rsidR="0034735F" w:rsidRPr="00F11894" w:rsidRDefault="0034735F" w:rsidP="0096138C">
            <w:pPr>
              <w:jc w:val="center"/>
              <w:rPr>
                <w:rFonts w:ascii="Garamond" w:hAnsi="Garamond"/>
                <w:b/>
                <w:sz w:val="20"/>
                <w:szCs w:val="20"/>
              </w:rPr>
            </w:pPr>
          </w:p>
        </w:tc>
      </w:tr>
    </w:tbl>
    <w:p w:rsidR="0034735F" w:rsidRPr="00F11894" w:rsidRDefault="0034735F" w:rsidP="0034735F">
      <w:pPr>
        <w:rPr>
          <w:rFonts w:ascii="Garamond" w:hAnsi="Garamond"/>
          <w:color w:val="000000"/>
          <w:sz w:val="20"/>
          <w:szCs w:val="20"/>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790"/>
        <w:gridCol w:w="2970"/>
        <w:gridCol w:w="2160"/>
      </w:tblGrid>
      <w:tr w:rsidR="0034735F" w:rsidRPr="00F11894" w:rsidTr="0096138C">
        <w:trPr>
          <w:trHeight w:val="1412"/>
        </w:trPr>
        <w:tc>
          <w:tcPr>
            <w:tcW w:w="1530" w:type="dxa"/>
          </w:tcPr>
          <w:p w:rsidR="0034735F" w:rsidRPr="00F11894" w:rsidRDefault="0034735F" w:rsidP="0096138C">
            <w:pPr>
              <w:jc w:val="both"/>
              <w:rPr>
                <w:rFonts w:ascii="Garamond" w:hAnsi="Garamond"/>
                <w:b/>
                <w:sz w:val="20"/>
                <w:szCs w:val="20"/>
              </w:rPr>
            </w:pPr>
            <w:r w:rsidRPr="00F11894">
              <w:rPr>
                <w:rFonts w:ascii="Garamond" w:hAnsi="Garamond"/>
                <w:b/>
                <w:sz w:val="20"/>
                <w:szCs w:val="20"/>
              </w:rPr>
              <w:t>Analyze</w:t>
            </w:r>
          </w:p>
          <w:p w:rsidR="0034735F" w:rsidRPr="00F11894" w:rsidRDefault="0034735F" w:rsidP="0096138C">
            <w:pPr>
              <w:jc w:val="both"/>
              <w:rPr>
                <w:rFonts w:ascii="Garamond" w:hAnsi="Garamond"/>
                <w:b/>
                <w:sz w:val="20"/>
                <w:szCs w:val="20"/>
              </w:rPr>
            </w:pPr>
            <w:r w:rsidRPr="00F11894">
              <w:rPr>
                <w:rFonts w:ascii="Garamond" w:hAnsi="Garamond"/>
                <w:b/>
                <w:sz w:val="20"/>
                <w:szCs w:val="20"/>
              </w:rPr>
              <w:t>Argument</w:t>
            </w:r>
            <w:r>
              <w:rPr>
                <w:rFonts w:ascii="Garamond" w:hAnsi="Garamond"/>
                <w:b/>
                <w:sz w:val="20"/>
                <w:szCs w:val="20"/>
              </w:rPr>
              <w:t>s</w:t>
            </w:r>
          </w:p>
        </w:tc>
        <w:tc>
          <w:tcPr>
            <w:tcW w:w="2790" w:type="dxa"/>
          </w:tcPr>
          <w:p w:rsidR="0034735F" w:rsidRPr="00F11894" w:rsidRDefault="0034735F" w:rsidP="0096138C">
            <w:pPr>
              <w:rPr>
                <w:rFonts w:ascii="Garamond" w:hAnsi="Garamond"/>
                <w:sz w:val="20"/>
                <w:szCs w:val="20"/>
              </w:rPr>
            </w:pPr>
            <w:r>
              <w:rPr>
                <w:rFonts w:ascii="Garamond" w:hAnsi="Garamond"/>
                <w:sz w:val="20"/>
                <w:szCs w:val="20"/>
              </w:rPr>
              <w:t>Student c</w:t>
            </w:r>
            <w:r w:rsidRPr="00F11894">
              <w:rPr>
                <w:rFonts w:ascii="Garamond" w:hAnsi="Garamond"/>
                <w:sz w:val="20"/>
                <w:szCs w:val="20"/>
              </w:rPr>
              <w:t xml:space="preserve">ritically </w:t>
            </w:r>
            <w:r>
              <w:rPr>
                <w:rFonts w:ascii="Garamond" w:hAnsi="Garamond"/>
                <w:sz w:val="20"/>
                <w:szCs w:val="20"/>
              </w:rPr>
              <w:t xml:space="preserve">and accurately </w:t>
            </w:r>
            <w:r w:rsidRPr="00F11894">
              <w:rPr>
                <w:rFonts w:ascii="Garamond" w:hAnsi="Garamond"/>
                <w:sz w:val="20"/>
                <w:szCs w:val="20"/>
              </w:rPr>
              <w:t xml:space="preserve">evaluates reasoning and interprets credibility, relevance, and sufficiency of support/evidence. </w:t>
            </w:r>
          </w:p>
        </w:tc>
        <w:tc>
          <w:tcPr>
            <w:tcW w:w="2970" w:type="dxa"/>
          </w:tcPr>
          <w:p w:rsidR="0034735F" w:rsidRPr="00F11894" w:rsidRDefault="0034735F" w:rsidP="0096138C">
            <w:pPr>
              <w:rPr>
                <w:rFonts w:ascii="Garamond" w:hAnsi="Garamond"/>
                <w:sz w:val="20"/>
                <w:szCs w:val="20"/>
              </w:rPr>
            </w:pPr>
            <w:r w:rsidRPr="00641CA0">
              <w:rPr>
                <w:rFonts w:ascii="Garamond" w:hAnsi="Garamond"/>
                <w:sz w:val="20"/>
                <w:szCs w:val="20"/>
              </w:rPr>
              <w:t>Student identifies and adequately evaluates reasoning and attempts to assess credibility, relevance, and sufficiency of support/evidence.</w:t>
            </w:r>
          </w:p>
        </w:tc>
        <w:tc>
          <w:tcPr>
            <w:tcW w:w="2160" w:type="dxa"/>
          </w:tcPr>
          <w:p w:rsidR="0034735F" w:rsidRPr="00F11894" w:rsidRDefault="0034735F" w:rsidP="0096138C">
            <w:pPr>
              <w:rPr>
                <w:rFonts w:ascii="Garamond" w:hAnsi="Garamond"/>
                <w:sz w:val="20"/>
                <w:szCs w:val="20"/>
              </w:rPr>
            </w:pPr>
            <w:r w:rsidRPr="00641CA0">
              <w:rPr>
                <w:rFonts w:ascii="Garamond" w:hAnsi="Garamond"/>
                <w:sz w:val="20"/>
                <w:szCs w:val="20"/>
              </w:rPr>
              <w:t>Student needs to evaluate reasoning and assess credibility, relevance, and sufficiency of support/evidence.</w:t>
            </w:r>
          </w:p>
        </w:tc>
      </w:tr>
      <w:tr w:rsidR="0034735F" w:rsidRPr="00F11894" w:rsidTr="0096138C">
        <w:trPr>
          <w:trHeight w:val="1430"/>
        </w:trPr>
        <w:tc>
          <w:tcPr>
            <w:tcW w:w="1530" w:type="dxa"/>
          </w:tcPr>
          <w:p w:rsidR="0034735F" w:rsidRPr="00F11894" w:rsidRDefault="0034735F" w:rsidP="0096138C">
            <w:pPr>
              <w:jc w:val="both"/>
              <w:rPr>
                <w:rFonts w:ascii="Garamond" w:hAnsi="Garamond"/>
                <w:b/>
                <w:sz w:val="20"/>
                <w:szCs w:val="20"/>
              </w:rPr>
            </w:pPr>
            <w:r w:rsidRPr="00F11894">
              <w:rPr>
                <w:rFonts w:ascii="Garamond" w:hAnsi="Garamond"/>
                <w:b/>
                <w:sz w:val="20"/>
                <w:szCs w:val="20"/>
              </w:rPr>
              <w:t>Evaluate Ideas</w:t>
            </w:r>
          </w:p>
        </w:tc>
        <w:tc>
          <w:tcPr>
            <w:tcW w:w="2790" w:type="dxa"/>
          </w:tcPr>
          <w:p w:rsidR="0034735F" w:rsidRPr="00F11894" w:rsidRDefault="0034735F" w:rsidP="0096138C">
            <w:pPr>
              <w:rPr>
                <w:rFonts w:ascii="Garamond" w:hAnsi="Garamond"/>
                <w:sz w:val="20"/>
                <w:szCs w:val="20"/>
              </w:rPr>
            </w:pPr>
            <w:r w:rsidRPr="00F11894">
              <w:rPr>
                <w:rFonts w:ascii="Garamond" w:hAnsi="Garamond"/>
                <w:sz w:val="20"/>
                <w:szCs w:val="20"/>
              </w:rPr>
              <w:t xml:space="preserve">Student </w:t>
            </w:r>
            <w:r>
              <w:rPr>
                <w:rFonts w:ascii="Garamond" w:hAnsi="Garamond"/>
                <w:sz w:val="20"/>
                <w:szCs w:val="20"/>
              </w:rPr>
              <w:t>offers</w:t>
            </w:r>
            <w:r w:rsidRPr="00F11894">
              <w:rPr>
                <w:rFonts w:ascii="Garamond" w:hAnsi="Garamond"/>
                <w:sz w:val="20"/>
                <w:szCs w:val="20"/>
              </w:rPr>
              <w:t xml:space="preserve"> argumentative support</w:t>
            </w:r>
            <w:r>
              <w:rPr>
                <w:rFonts w:ascii="Garamond" w:hAnsi="Garamond"/>
                <w:sz w:val="20"/>
                <w:szCs w:val="20"/>
              </w:rPr>
              <w:t xml:space="preserve"> for ideas</w:t>
            </w:r>
            <w:r w:rsidRPr="00F11894">
              <w:rPr>
                <w:rFonts w:ascii="Garamond" w:hAnsi="Garamond"/>
                <w:sz w:val="20"/>
                <w:szCs w:val="20"/>
              </w:rPr>
              <w:t xml:space="preserve">, </w:t>
            </w:r>
            <w:r>
              <w:rPr>
                <w:rFonts w:ascii="Garamond" w:hAnsi="Garamond"/>
                <w:sz w:val="20"/>
                <w:szCs w:val="20"/>
              </w:rPr>
              <w:t xml:space="preserve">anticipates and </w:t>
            </w:r>
            <w:r w:rsidRPr="00F11894">
              <w:rPr>
                <w:rFonts w:ascii="Garamond" w:hAnsi="Garamond"/>
                <w:sz w:val="20"/>
                <w:szCs w:val="20"/>
              </w:rPr>
              <w:t>addresses counter-arguments, and develops logical solutions.</w:t>
            </w:r>
          </w:p>
        </w:tc>
        <w:tc>
          <w:tcPr>
            <w:tcW w:w="2970" w:type="dxa"/>
          </w:tcPr>
          <w:p w:rsidR="0034735F" w:rsidRPr="00F11894" w:rsidRDefault="0034735F" w:rsidP="0096138C">
            <w:pPr>
              <w:rPr>
                <w:rFonts w:ascii="Garamond" w:hAnsi="Garamond"/>
                <w:sz w:val="20"/>
                <w:szCs w:val="20"/>
              </w:rPr>
            </w:pPr>
            <w:r w:rsidRPr="00F11894">
              <w:rPr>
                <w:rFonts w:ascii="Garamond" w:hAnsi="Garamond"/>
                <w:sz w:val="20"/>
                <w:szCs w:val="20"/>
              </w:rPr>
              <w:t>Student</w:t>
            </w:r>
            <w:r>
              <w:rPr>
                <w:rFonts w:ascii="Garamond" w:hAnsi="Garamond"/>
                <w:sz w:val="20"/>
                <w:szCs w:val="20"/>
              </w:rPr>
              <w:t xml:space="preserve"> offers</w:t>
            </w:r>
            <w:r w:rsidRPr="00F11894">
              <w:rPr>
                <w:rFonts w:ascii="Garamond" w:hAnsi="Garamond"/>
                <w:sz w:val="20"/>
                <w:szCs w:val="20"/>
              </w:rPr>
              <w:t xml:space="preserve"> some argumentative support</w:t>
            </w:r>
            <w:r>
              <w:rPr>
                <w:rFonts w:ascii="Garamond" w:hAnsi="Garamond"/>
                <w:sz w:val="20"/>
                <w:szCs w:val="20"/>
              </w:rPr>
              <w:t xml:space="preserve"> for ideas</w:t>
            </w:r>
            <w:r w:rsidRPr="00F11894">
              <w:rPr>
                <w:rFonts w:ascii="Garamond" w:hAnsi="Garamond"/>
                <w:sz w:val="20"/>
                <w:szCs w:val="20"/>
              </w:rPr>
              <w:t xml:space="preserve">, but struggles to </w:t>
            </w:r>
            <w:r>
              <w:rPr>
                <w:rFonts w:ascii="Garamond" w:hAnsi="Garamond"/>
                <w:sz w:val="20"/>
                <w:szCs w:val="20"/>
              </w:rPr>
              <w:t xml:space="preserve">anticipate and </w:t>
            </w:r>
            <w:r w:rsidRPr="00F11894">
              <w:rPr>
                <w:rFonts w:ascii="Garamond" w:hAnsi="Garamond"/>
                <w:sz w:val="20"/>
                <w:szCs w:val="20"/>
              </w:rPr>
              <w:t>address counter-arguments, and shoehorns new problems into old solutions.</w:t>
            </w:r>
          </w:p>
        </w:tc>
        <w:tc>
          <w:tcPr>
            <w:tcW w:w="2160" w:type="dxa"/>
          </w:tcPr>
          <w:p w:rsidR="0034735F" w:rsidRPr="00F11894" w:rsidRDefault="0034735F" w:rsidP="0096138C">
            <w:pPr>
              <w:rPr>
                <w:rFonts w:ascii="Garamond" w:hAnsi="Garamond"/>
                <w:sz w:val="20"/>
                <w:szCs w:val="20"/>
              </w:rPr>
            </w:pPr>
            <w:r w:rsidRPr="00F11894">
              <w:rPr>
                <w:rFonts w:ascii="Garamond" w:hAnsi="Garamond"/>
                <w:sz w:val="20"/>
                <w:szCs w:val="20"/>
              </w:rPr>
              <w:t xml:space="preserve">Student </w:t>
            </w:r>
            <w:r>
              <w:rPr>
                <w:rFonts w:ascii="Garamond" w:hAnsi="Garamond"/>
                <w:sz w:val="20"/>
                <w:szCs w:val="20"/>
              </w:rPr>
              <w:t>offers little</w:t>
            </w:r>
            <w:r w:rsidRPr="00F11894">
              <w:rPr>
                <w:rFonts w:ascii="Garamond" w:hAnsi="Garamond"/>
                <w:sz w:val="20"/>
                <w:szCs w:val="20"/>
              </w:rPr>
              <w:t xml:space="preserve"> argumentative support </w:t>
            </w:r>
            <w:r>
              <w:rPr>
                <w:rFonts w:ascii="Garamond" w:hAnsi="Garamond"/>
                <w:sz w:val="20"/>
                <w:szCs w:val="20"/>
              </w:rPr>
              <w:t>for ideas, does not anticipate counter-arguments</w:t>
            </w:r>
            <w:r w:rsidRPr="00F11894">
              <w:rPr>
                <w:rFonts w:ascii="Garamond" w:hAnsi="Garamond"/>
                <w:sz w:val="20"/>
                <w:szCs w:val="20"/>
              </w:rPr>
              <w:t>, and solutions are solely based on personal/cultural preference.</w:t>
            </w:r>
          </w:p>
        </w:tc>
      </w:tr>
      <w:tr w:rsidR="0034735F" w:rsidRPr="00F11894" w:rsidTr="0096138C">
        <w:trPr>
          <w:trHeight w:val="989"/>
        </w:trPr>
        <w:tc>
          <w:tcPr>
            <w:tcW w:w="1530" w:type="dxa"/>
          </w:tcPr>
          <w:p w:rsidR="0034735F" w:rsidRPr="00F11894" w:rsidRDefault="0034735F" w:rsidP="0096138C">
            <w:pPr>
              <w:jc w:val="both"/>
              <w:rPr>
                <w:rFonts w:ascii="Garamond" w:hAnsi="Garamond"/>
                <w:b/>
                <w:sz w:val="20"/>
                <w:szCs w:val="20"/>
              </w:rPr>
            </w:pPr>
            <w:r>
              <w:rPr>
                <w:rFonts w:ascii="Garamond" w:hAnsi="Garamond"/>
                <w:b/>
                <w:sz w:val="20"/>
                <w:szCs w:val="20"/>
              </w:rPr>
              <w:t xml:space="preserve">Empathize with </w:t>
            </w:r>
            <w:r w:rsidRPr="00F11894">
              <w:rPr>
                <w:rFonts w:ascii="Garamond" w:hAnsi="Garamond"/>
                <w:b/>
                <w:sz w:val="20"/>
                <w:szCs w:val="20"/>
              </w:rPr>
              <w:t>different perspectives</w:t>
            </w:r>
          </w:p>
        </w:tc>
        <w:tc>
          <w:tcPr>
            <w:tcW w:w="2790" w:type="dxa"/>
          </w:tcPr>
          <w:p w:rsidR="0034735F" w:rsidRPr="00F11894" w:rsidRDefault="0034735F" w:rsidP="0096138C">
            <w:pPr>
              <w:rPr>
                <w:rFonts w:ascii="Garamond" w:hAnsi="Garamond"/>
                <w:sz w:val="20"/>
                <w:szCs w:val="20"/>
              </w:rPr>
            </w:pPr>
            <w:r>
              <w:rPr>
                <w:rFonts w:ascii="Garamond" w:hAnsi="Garamond"/>
                <w:sz w:val="20"/>
                <w:szCs w:val="20"/>
              </w:rPr>
              <w:t>Student c</w:t>
            </w:r>
            <w:r w:rsidRPr="00F11894">
              <w:rPr>
                <w:rFonts w:ascii="Garamond" w:hAnsi="Garamond"/>
                <w:sz w:val="20"/>
                <w:szCs w:val="20"/>
              </w:rPr>
              <w:t>onsistently considers different and controversial perspectives and reviews own position.</w:t>
            </w:r>
          </w:p>
        </w:tc>
        <w:tc>
          <w:tcPr>
            <w:tcW w:w="2970" w:type="dxa"/>
          </w:tcPr>
          <w:p w:rsidR="0034735F" w:rsidRPr="00F11894" w:rsidRDefault="0034735F" w:rsidP="0096138C">
            <w:pPr>
              <w:rPr>
                <w:rFonts w:ascii="Garamond" w:hAnsi="Garamond"/>
                <w:sz w:val="20"/>
                <w:szCs w:val="20"/>
              </w:rPr>
            </w:pPr>
            <w:r>
              <w:rPr>
                <w:rFonts w:ascii="Garamond" w:hAnsi="Garamond"/>
                <w:sz w:val="20"/>
                <w:szCs w:val="20"/>
              </w:rPr>
              <w:t>Student is s</w:t>
            </w:r>
            <w:r w:rsidRPr="00F11894">
              <w:rPr>
                <w:rFonts w:ascii="Garamond" w:hAnsi="Garamond"/>
                <w:sz w:val="20"/>
                <w:szCs w:val="20"/>
              </w:rPr>
              <w:t>ometimes open to unfamiliar or different perspectives, but main focus remains on own position.</w:t>
            </w:r>
          </w:p>
        </w:tc>
        <w:tc>
          <w:tcPr>
            <w:tcW w:w="2160" w:type="dxa"/>
          </w:tcPr>
          <w:p w:rsidR="0034735F" w:rsidRPr="00F11894" w:rsidRDefault="0034735F" w:rsidP="0096138C">
            <w:pPr>
              <w:rPr>
                <w:rFonts w:ascii="Garamond" w:hAnsi="Garamond"/>
                <w:sz w:val="20"/>
                <w:szCs w:val="20"/>
              </w:rPr>
            </w:pPr>
            <w:r>
              <w:rPr>
                <w:rFonts w:ascii="Garamond" w:hAnsi="Garamond"/>
                <w:sz w:val="20"/>
                <w:szCs w:val="20"/>
              </w:rPr>
              <w:t>Student’s capacity</w:t>
            </w:r>
            <w:r w:rsidRPr="00F11894">
              <w:rPr>
                <w:rFonts w:ascii="Garamond" w:hAnsi="Garamond"/>
                <w:sz w:val="20"/>
                <w:szCs w:val="20"/>
              </w:rPr>
              <w:t xml:space="preserve"> to "walk in another's shoes is limited due to </w:t>
            </w:r>
            <w:r>
              <w:rPr>
                <w:rFonts w:ascii="Garamond" w:hAnsi="Garamond"/>
                <w:sz w:val="20"/>
                <w:szCs w:val="20"/>
              </w:rPr>
              <w:t>his/her</w:t>
            </w:r>
            <w:r w:rsidRPr="00F11894">
              <w:rPr>
                <w:rFonts w:ascii="Garamond" w:hAnsi="Garamond"/>
                <w:sz w:val="20"/>
                <w:szCs w:val="20"/>
              </w:rPr>
              <w:t xml:space="preserve"> own reactions and attitudes.</w:t>
            </w:r>
          </w:p>
        </w:tc>
      </w:tr>
      <w:tr w:rsidR="0034735F" w:rsidRPr="00F11894" w:rsidTr="0096138C">
        <w:trPr>
          <w:trHeight w:val="1430"/>
        </w:trPr>
        <w:tc>
          <w:tcPr>
            <w:tcW w:w="1530" w:type="dxa"/>
          </w:tcPr>
          <w:p w:rsidR="0034735F" w:rsidRPr="00F11894" w:rsidRDefault="0034735F" w:rsidP="0096138C">
            <w:pPr>
              <w:jc w:val="both"/>
              <w:rPr>
                <w:rFonts w:ascii="Garamond" w:hAnsi="Garamond"/>
                <w:b/>
                <w:sz w:val="20"/>
                <w:szCs w:val="20"/>
              </w:rPr>
            </w:pPr>
            <w:r w:rsidRPr="00F11894">
              <w:rPr>
                <w:rFonts w:ascii="Garamond" w:hAnsi="Garamond"/>
                <w:b/>
                <w:sz w:val="20"/>
                <w:szCs w:val="20"/>
              </w:rPr>
              <w:t>Utilize symbols</w:t>
            </w:r>
          </w:p>
        </w:tc>
        <w:tc>
          <w:tcPr>
            <w:tcW w:w="2790" w:type="dxa"/>
          </w:tcPr>
          <w:p w:rsidR="0034735F" w:rsidRPr="00F11894" w:rsidRDefault="0034735F" w:rsidP="0096138C">
            <w:pPr>
              <w:rPr>
                <w:rFonts w:ascii="Garamond" w:hAnsi="Garamond"/>
                <w:sz w:val="20"/>
                <w:szCs w:val="20"/>
              </w:rPr>
            </w:pPr>
            <w:r w:rsidRPr="00F11894">
              <w:rPr>
                <w:rFonts w:ascii="Garamond" w:hAnsi="Garamond"/>
                <w:sz w:val="20"/>
                <w:szCs w:val="20"/>
              </w:rPr>
              <w:t>Student is capable of understanding a statement, problem or solution written in symbolic notation and translating it into prose and vice versa.</w:t>
            </w:r>
          </w:p>
        </w:tc>
        <w:tc>
          <w:tcPr>
            <w:tcW w:w="2970" w:type="dxa"/>
          </w:tcPr>
          <w:p w:rsidR="0034735F" w:rsidRPr="00F11894" w:rsidRDefault="0034735F" w:rsidP="0096138C">
            <w:pPr>
              <w:rPr>
                <w:rFonts w:ascii="Garamond" w:hAnsi="Garamond"/>
                <w:sz w:val="20"/>
                <w:szCs w:val="20"/>
              </w:rPr>
            </w:pPr>
            <w:r w:rsidRPr="00F11894">
              <w:rPr>
                <w:rFonts w:ascii="Garamond" w:hAnsi="Garamond"/>
                <w:sz w:val="20"/>
                <w:szCs w:val="20"/>
              </w:rPr>
              <w:t>Student needs assistance when translating a statement, problem, or solution written in symbolic notation into prose and/or vice versa.</w:t>
            </w:r>
          </w:p>
        </w:tc>
        <w:tc>
          <w:tcPr>
            <w:tcW w:w="2160" w:type="dxa"/>
          </w:tcPr>
          <w:p w:rsidR="0034735F" w:rsidRPr="00F11894" w:rsidRDefault="0034735F" w:rsidP="0096138C">
            <w:pPr>
              <w:rPr>
                <w:rFonts w:ascii="Garamond" w:hAnsi="Garamond"/>
                <w:sz w:val="20"/>
                <w:szCs w:val="20"/>
              </w:rPr>
            </w:pPr>
            <w:r>
              <w:rPr>
                <w:rFonts w:ascii="Garamond" w:hAnsi="Garamond"/>
                <w:sz w:val="20"/>
                <w:szCs w:val="20"/>
              </w:rPr>
              <w:t>S</w:t>
            </w:r>
            <w:r w:rsidRPr="00F11894">
              <w:rPr>
                <w:rFonts w:ascii="Garamond" w:hAnsi="Garamond"/>
                <w:sz w:val="20"/>
                <w:szCs w:val="20"/>
              </w:rPr>
              <w:t>tudent is not able to understand a statement, problem or solution written in symbolic notation and/or translate it into prose and vice versa.</w:t>
            </w:r>
          </w:p>
        </w:tc>
      </w:tr>
      <w:tr w:rsidR="0034735F" w:rsidRPr="00F11894" w:rsidTr="0096138C">
        <w:trPr>
          <w:trHeight w:val="1430"/>
        </w:trPr>
        <w:tc>
          <w:tcPr>
            <w:tcW w:w="1530" w:type="dxa"/>
          </w:tcPr>
          <w:p w:rsidR="0034735F" w:rsidRPr="00F11894" w:rsidRDefault="0034735F" w:rsidP="0096138C">
            <w:pPr>
              <w:jc w:val="both"/>
              <w:rPr>
                <w:rFonts w:ascii="Garamond" w:hAnsi="Garamond"/>
                <w:b/>
                <w:sz w:val="20"/>
                <w:szCs w:val="20"/>
              </w:rPr>
            </w:pPr>
            <w:r w:rsidRPr="00F11894">
              <w:rPr>
                <w:rFonts w:ascii="Garamond" w:hAnsi="Garamond"/>
                <w:b/>
                <w:sz w:val="20"/>
                <w:szCs w:val="20"/>
              </w:rPr>
              <w:t>Inter</w:t>
            </w:r>
            <w:r>
              <w:rPr>
                <w:rFonts w:ascii="Garamond" w:hAnsi="Garamond"/>
                <w:b/>
                <w:sz w:val="20"/>
                <w:szCs w:val="20"/>
              </w:rPr>
              <w:t xml:space="preserve">pret literary, artistic and </w:t>
            </w:r>
            <w:r w:rsidRPr="00F11894">
              <w:rPr>
                <w:rFonts w:ascii="Garamond" w:hAnsi="Garamond"/>
                <w:b/>
                <w:sz w:val="20"/>
                <w:szCs w:val="20"/>
              </w:rPr>
              <w:t>scientific works</w:t>
            </w:r>
          </w:p>
        </w:tc>
        <w:tc>
          <w:tcPr>
            <w:tcW w:w="2790" w:type="dxa"/>
          </w:tcPr>
          <w:p w:rsidR="0034735F" w:rsidRPr="00F11894" w:rsidRDefault="0034735F" w:rsidP="0096138C">
            <w:pPr>
              <w:rPr>
                <w:rFonts w:ascii="Garamond" w:hAnsi="Garamond"/>
                <w:sz w:val="20"/>
                <w:szCs w:val="20"/>
              </w:rPr>
            </w:pPr>
            <w:r w:rsidRPr="00F11894">
              <w:rPr>
                <w:rFonts w:ascii="Garamond" w:hAnsi="Garamond"/>
                <w:sz w:val="20"/>
                <w:szCs w:val="20"/>
              </w:rPr>
              <w:t xml:space="preserve">Student successfully identifies all </w:t>
            </w:r>
            <w:r>
              <w:rPr>
                <w:rFonts w:ascii="Garamond" w:hAnsi="Garamond"/>
                <w:sz w:val="20"/>
                <w:szCs w:val="20"/>
              </w:rPr>
              <w:t>major</w:t>
            </w:r>
            <w:r w:rsidRPr="00F11894">
              <w:rPr>
                <w:rFonts w:ascii="Garamond" w:hAnsi="Garamond"/>
                <w:sz w:val="20"/>
                <w:szCs w:val="20"/>
              </w:rPr>
              <w:t xml:space="preserve"> themes, structure, </w:t>
            </w:r>
            <w:r>
              <w:rPr>
                <w:rFonts w:ascii="Garamond" w:hAnsi="Garamond"/>
                <w:sz w:val="20"/>
                <w:szCs w:val="20"/>
              </w:rPr>
              <w:t>symbolic meanings,</w:t>
            </w:r>
            <w:r w:rsidRPr="00F11894">
              <w:rPr>
                <w:rFonts w:ascii="Garamond" w:hAnsi="Garamond"/>
                <w:sz w:val="20"/>
                <w:szCs w:val="20"/>
              </w:rPr>
              <w:t xml:space="preserve"> salient arguments,</w:t>
            </w:r>
            <w:r>
              <w:rPr>
                <w:rFonts w:ascii="Garamond" w:hAnsi="Garamond"/>
                <w:sz w:val="20"/>
                <w:szCs w:val="20"/>
              </w:rPr>
              <w:t xml:space="preserve"> </w:t>
            </w:r>
            <w:r w:rsidRPr="00F11894">
              <w:rPr>
                <w:rFonts w:ascii="Garamond" w:hAnsi="Garamond"/>
                <w:sz w:val="20"/>
                <w:szCs w:val="20"/>
              </w:rPr>
              <w:t xml:space="preserve">and perspectives in the text/piece.  </w:t>
            </w:r>
          </w:p>
        </w:tc>
        <w:tc>
          <w:tcPr>
            <w:tcW w:w="2970" w:type="dxa"/>
          </w:tcPr>
          <w:p w:rsidR="0034735F" w:rsidRPr="00F11894" w:rsidRDefault="0034735F" w:rsidP="0096138C">
            <w:pPr>
              <w:rPr>
                <w:rFonts w:ascii="Garamond" w:hAnsi="Garamond"/>
                <w:sz w:val="20"/>
                <w:szCs w:val="20"/>
              </w:rPr>
            </w:pPr>
            <w:r w:rsidRPr="00F11894">
              <w:rPr>
                <w:rFonts w:ascii="Garamond" w:hAnsi="Garamond"/>
                <w:sz w:val="20"/>
                <w:szCs w:val="20"/>
              </w:rPr>
              <w:t xml:space="preserve">Student identifies some, but not all, </w:t>
            </w:r>
            <w:r>
              <w:rPr>
                <w:rFonts w:ascii="Garamond" w:hAnsi="Garamond"/>
                <w:sz w:val="20"/>
                <w:szCs w:val="20"/>
              </w:rPr>
              <w:t>major</w:t>
            </w:r>
            <w:r w:rsidRPr="00F11894">
              <w:rPr>
                <w:rFonts w:ascii="Garamond" w:hAnsi="Garamond"/>
                <w:sz w:val="20"/>
                <w:szCs w:val="20"/>
              </w:rPr>
              <w:t xml:space="preserve"> themes, structure, </w:t>
            </w:r>
            <w:r>
              <w:rPr>
                <w:rFonts w:ascii="Garamond" w:hAnsi="Garamond"/>
                <w:sz w:val="20"/>
                <w:szCs w:val="20"/>
              </w:rPr>
              <w:t>symbolic meanings,</w:t>
            </w:r>
            <w:r w:rsidRPr="00F11894">
              <w:rPr>
                <w:rFonts w:ascii="Garamond" w:hAnsi="Garamond"/>
                <w:sz w:val="20"/>
                <w:szCs w:val="20"/>
              </w:rPr>
              <w:t xml:space="preserve"> salient arguments,</w:t>
            </w:r>
            <w:r>
              <w:rPr>
                <w:rFonts w:ascii="Garamond" w:hAnsi="Garamond"/>
                <w:sz w:val="20"/>
                <w:szCs w:val="20"/>
              </w:rPr>
              <w:t xml:space="preserve"> </w:t>
            </w:r>
            <w:r w:rsidRPr="00F11894">
              <w:rPr>
                <w:rFonts w:ascii="Garamond" w:hAnsi="Garamond"/>
                <w:sz w:val="20"/>
                <w:szCs w:val="20"/>
              </w:rPr>
              <w:t xml:space="preserve">and perspectives in the text/piece.  </w:t>
            </w:r>
          </w:p>
        </w:tc>
        <w:tc>
          <w:tcPr>
            <w:tcW w:w="2160" w:type="dxa"/>
          </w:tcPr>
          <w:p w:rsidR="0034735F" w:rsidRPr="00F11894" w:rsidRDefault="0034735F" w:rsidP="0096138C">
            <w:pPr>
              <w:rPr>
                <w:rFonts w:ascii="Garamond" w:hAnsi="Garamond"/>
                <w:sz w:val="20"/>
                <w:szCs w:val="20"/>
              </w:rPr>
            </w:pPr>
            <w:r w:rsidRPr="00F11894">
              <w:rPr>
                <w:rFonts w:ascii="Garamond" w:hAnsi="Garamond"/>
                <w:sz w:val="20"/>
                <w:szCs w:val="20"/>
              </w:rPr>
              <w:t xml:space="preserve">Student fails to identify </w:t>
            </w:r>
            <w:r>
              <w:rPr>
                <w:rFonts w:ascii="Garamond" w:hAnsi="Garamond"/>
                <w:sz w:val="20"/>
                <w:szCs w:val="20"/>
              </w:rPr>
              <w:t>major</w:t>
            </w:r>
            <w:r w:rsidRPr="00F11894">
              <w:rPr>
                <w:rFonts w:ascii="Garamond" w:hAnsi="Garamond"/>
                <w:sz w:val="20"/>
                <w:szCs w:val="20"/>
              </w:rPr>
              <w:t xml:space="preserve"> themes, structure, </w:t>
            </w:r>
            <w:r>
              <w:rPr>
                <w:rFonts w:ascii="Garamond" w:hAnsi="Garamond"/>
                <w:sz w:val="20"/>
                <w:szCs w:val="20"/>
              </w:rPr>
              <w:t>symbolic meanings,</w:t>
            </w:r>
            <w:r w:rsidRPr="00F11894">
              <w:rPr>
                <w:rFonts w:ascii="Garamond" w:hAnsi="Garamond"/>
                <w:sz w:val="20"/>
                <w:szCs w:val="20"/>
              </w:rPr>
              <w:t xml:space="preserve"> salient arguments,</w:t>
            </w:r>
            <w:r>
              <w:rPr>
                <w:rFonts w:ascii="Garamond" w:hAnsi="Garamond"/>
                <w:sz w:val="20"/>
                <w:szCs w:val="20"/>
              </w:rPr>
              <w:t xml:space="preserve"> </w:t>
            </w:r>
            <w:r w:rsidRPr="00F11894">
              <w:rPr>
                <w:rFonts w:ascii="Garamond" w:hAnsi="Garamond"/>
                <w:sz w:val="20"/>
                <w:szCs w:val="20"/>
              </w:rPr>
              <w:t xml:space="preserve">and perspectives in the text/piece.  </w:t>
            </w:r>
          </w:p>
        </w:tc>
      </w:tr>
    </w:tbl>
    <w:p w:rsidR="0034735F" w:rsidRDefault="0034735F" w:rsidP="0034735F"/>
    <w:p w:rsidR="006467EE" w:rsidRPr="001245CE" w:rsidRDefault="006467EE" w:rsidP="00C501B5"/>
    <w:sectPr w:rsidR="006467EE" w:rsidRPr="001245CE" w:rsidSect="008069AE">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719"/>
    <w:multiLevelType w:val="hybridMultilevel"/>
    <w:tmpl w:val="5720D23E"/>
    <w:lvl w:ilvl="0" w:tplc="AB904130">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468645C"/>
    <w:multiLevelType w:val="hybridMultilevel"/>
    <w:tmpl w:val="A9665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F4372"/>
    <w:multiLevelType w:val="hybridMultilevel"/>
    <w:tmpl w:val="989C1E40"/>
    <w:lvl w:ilvl="0" w:tplc="5F8CD1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432D40"/>
    <w:multiLevelType w:val="hybridMultilevel"/>
    <w:tmpl w:val="54D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0C"/>
    <w:rsid w:val="000C460C"/>
    <w:rsid w:val="001245CE"/>
    <w:rsid w:val="002E0535"/>
    <w:rsid w:val="00335652"/>
    <w:rsid w:val="0034735F"/>
    <w:rsid w:val="006467EE"/>
    <w:rsid w:val="00685169"/>
    <w:rsid w:val="008069AE"/>
    <w:rsid w:val="0096138C"/>
    <w:rsid w:val="00A93CDD"/>
    <w:rsid w:val="00B0301F"/>
    <w:rsid w:val="00C20AD2"/>
    <w:rsid w:val="00C501B5"/>
    <w:rsid w:val="00DB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735F"/>
    <w:pPr>
      <w:keepNext/>
      <w:spacing w:after="0" w:line="360" w:lineRule="auto"/>
      <w:outlineLvl w:val="0"/>
    </w:pPr>
    <w:rPr>
      <w:rFonts w:ascii="Times New Roman" w:eastAsia="Times"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60C"/>
    <w:pPr>
      <w:ind w:left="720"/>
      <w:contextualSpacing/>
    </w:pPr>
  </w:style>
  <w:style w:type="character" w:styleId="Hyperlink">
    <w:name w:val="Hyperlink"/>
    <w:basedOn w:val="DefaultParagraphFont"/>
    <w:uiPriority w:val="99"/>
    <w:unhideWhenUsed/>
    <w:rsid w:val="008069AE"/>
    <w:rPr>
      <w:color w:val="0000FF" w:themeColor="hyperlink"/>
      <w:u w:val="single"/>
    </w:rPr>
  </w:style>
  <w:style w:type="character" w:customStyle="1" w:styleId="Heading1Char">
    <w:name w:val="Heading 1 Char"/>
    <w:basedOn w:val="DefaultParagraphFont"/>
    <w:link w:val="Heading1"/>
    <w:rsid w:val="0034735F"/>
    <w:rPr>
      <w:rFonts w:ascii="Times New Roman" w:eastAsia="Times" w:hAnsi="Times New Roman" w:cs="Times New Roman"/>
      <w:i/>
      <w:sz w:val="24"/>
      <w:szCs w:val="20"/>
    </w:rPr>
  </w:style>
  <w:style w:type="paragraph" w:styleId="BalloonText">
    <w:name w:val="Balloon Text"/>
    <w:basedOn w:val="Normal"/>
    <w:link w:val="BalloonTextChar"/>
    <w:uiPriority w:val="99"/>
    <w:semiHidden/>
    <w:unhideWhenUsed/>
    <w:rsid w:val="00C5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735F"/>
    <w:pPr>
      <w:keepNext/>
      <w:spacing w:after="0" w:line="360" w:lineRule="auto"/>
      <w:outlineLvl w:val="0"/>
    </w:pPr>
    <w:rPr>
      <w:rFonts w:ascii="Times New Roman" w:eastAsia="Times"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60C"/>
    <w:pPr>
      <w:ind w:left="720"/>
      <w:contextualSpacing/>
    </w:pPr>
  </w:style>
  <w:style w:type="character" w:styleId="Hyperlink">
    <w:name w:val="Hyperlink"/>
    <w:basedOn w:val="DefaultParagraphFont"/>
    <w:uiPriority w:val="99"/>
    <w:unhideWhenUsed/>
    <w:rsid w:val="008069AE"/>
    <w:rPr>
      <w:color w:val="0000FF" w:themeColor="hyperlink"/>
      <w:u w:val="single"/>
    </w:rPr>
  </w:style>
  <w:style w:type="character" w:customStyle="1" w:styleId="Heading1Char">
    <w:name w:val="Heading 1 Char"/>
    <w:basedOn w:val="DefaultParagraphFont"/>
    <w:link w:val="Heading1"/>
    <w:rsid w:val="0034735F"/>
    <w:rPr>
      <w:rFonts w:ascii="Times New Roman" w:eastAsia="Times" w:hAnsi="Times New Roman" w:cs="Times New Roman"/>
      <w:i/>
      <w:sz w:val="24"/>
      <w:szCs w:val="20"/>
    </w:rPr>
  </w:style>
  <w:style w:type="paragraph" w:styleId="BalloonText">
    <w:name w:val="Balloon Text"/>
    <w:basedOn w:val="Normal"/>
    <w:link w:val="BalloonTextChar"/>
    <w:uiPriority w:val="99"/>
    <w:semiHidden/>
    <w:unhideWhenUsed/>
    <w:rsid w:val="00C5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mireztono@fhd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8744-009B-44A1-B413-08B529E0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 Ramirez</dc:creator>
  <cp:lastModifiedBy>Tono Ramirez</cp:lastModifiedBy>
  <cp:revision>6</cp:revision>
  <cp:lastPrinted>2013-01-28T23:54:00Z</cp:lastPrinted>
  <dcterms:created xsi:type="dcterms:W3CDTF">2013-01-28T23:53:00Z</dcterms:created>
  <dcterms:modified xsi:type="dcterms:W3CDTF">2013-02-25T18:01:00Z</dcterms:modified>
</cp:coreProperties>
</file>